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Налоговая политика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Наталья Геннадьевна/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«Налоговая политика»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«Налоговая политика».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«Налоговая политика»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вести налоговый учет, составлять налоговые расчеты и декларации, осуществлять налоговое планирование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и методы налогового планирования и формирования налоговой политики организации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уметь осуществлять меры налоговой оптимизации в конкретных условиях деятельности по всей совокупности налогов и сборов</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уметь оценивать изменение налоговых обязательств и рисков в результате принятия управленческих решений, не соответствующих утвержденной налоговой политике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формировать и применять набор инструментов налогового планирования (налоговые льготы, формы договорных взаимоотношений, цены сделок, ставки налогообложения, объекты налогообложения, социальные налоговые режимы)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ПК-3.20 уметь корректировать налоговую политику экономического субъекта в связи с изменениями законодательства Российской Федерации о налогах и сборах</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ПК-3.29 владеть навыками формирования налоговой политики экономического субъекта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ПК-3.31 владеть навыками контроля соблюдения требований налоговой политики в процессе осуществления экономическим субъектом (его обособленными подразделениями и дочерними обществами)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865.24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«Налоговая политика» относится к обязательной части, является дисциплиной Блока Б1. «Дисциплины (модули)». Модуль "Налоговый учет и налоговые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расчеты"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Налоговое планирование в организации</w:t>
            </w:r>
          </w:p>
          <w:p>
            <w:pPr>
              <w:jc w:val="center"/>
              <w:spacing w:after="0" w:line="240" w:lineRule="auto"/>
              <w:rPr>
                <w:sz w:val="22"/>
                <w:szCs w:val="22"/>
              </w:rPr>
            </w:pPr>
            <w:r>
              <w:rPr>
                <w:rFonts w:ascii="Times New Roman" w:hAnsi="Times New Roman" w:cs="Times New Roman"/>
                <w:color w:val="#000000"/>
                <w:sz w:val="22"/>
                <w:szCs w:val="22"/>
              </w:rPr>
              <w:t> Налоговые расчеты в бухгалтерском учете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Налоговые расчеты и декларации в экономическом субъекте (практикум)</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 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Налоги и налогообложение</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аспекты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сущность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и налоговое бремя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 инструменты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Практика реализации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7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Федеральные налоги и сборы, региональные и местные налоги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РФ в сфере подоходного налогообложения физических лиц</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налогообложения малого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Налоговая политика  в борьбе с теневой экономикой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налоговой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9146.92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налоговой политики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и налоговое бремя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способы его оценки, теория и практика поиска налогового предела, теневая экономика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инструменты реализации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налоговой политики, их инструменты, налоговые льготы, понятие и содержание налоговой реформы</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 и сборы,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РФ в сфере подоходного налогообложения физических лиц</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проблемы и перспективы налоговой политики в сфере подоходного обложения, подоходный налог в период налоговой реформы</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налогообложения малого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малого предпринимательства в рыночной экономике, налоговое стимулирование малого предпринимательства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в борьбе с теневой экономикой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теневой экономики, способы уклонения от уплаты налогов, институциональные условия сокращения теневой экономики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налоговой политики, показатели, отражающие её эффективность, эффективность налоговой политик по отдельным налогам</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сущность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налоговой доктрины, налоговой политики, их содержание, принципы, основные стадии и типы налоговой политики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и налоговое бремя</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налогового бремени и способы его оценки, теория и практика поиска налогового предела, теневая экономика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 инструменты реализации налоговой политики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налоговой политики, их инструменты, налоговые льготы, понятие и содержание налоговой реформы</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Федеральные налоги и сборы, региональные и местные налоги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Акцизы, НДС, налог на прибыль, налог на добычу полезных ископаемых, водный налог, налог на имущество, транспортный налог, налог на имущество физических лиц</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РФ в сфере подоходного налогообложения физических лиц</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Эволюция, проблемы и перспективы налоговой политики в сфере подоходного обложения, подоходный налог в период налоговой реформы</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 налогообложения малого предпринимательства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малого предпринимательства в рыночной экономике, налоговое стимулирование малого предпринимательства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Налоговая политика  в борьбе с теневой экономикой</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теневой экономики, способы уклонения от уплаты налогов, институциональные условия сокращения теневой экономики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налоговой политики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эффективности налоговой политики, показатели, отражающие её эффективность, эффективность налоговой политик по отдельным налогам</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«Налоговая политика» / Гавриленко Наталья Геннадьевна.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585.0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50.30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393.8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105.18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10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2024-2025_ФГОС3++2024_Бак-ОЗФО-Э(УАиА)(24)_plx_Налоговая политика</dc:title>
  <dc:creator>FastReport.NET</dc:creator>
</cp:coreProperties>
</file>